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3C80"/>
          <w:kern w:val="36"/>
          <w:sz w:val="48"/>
          <w:szCs w:val="48"/>
        </w:rPr>
      </w:pPr>
      <w:r w:rsidRPr="00BF22F5">
        <w:rPr>
          <w:rFonts w:ascii="Arial" w:hAnsi="Arial" w:cs="Arial"/>
          <w:b/>
          <w:bCs/>
          <w:color w:val="003C80"/>
          <w:kern w:val="36"/>
          <w:sz w:val="48"/>
          <w:szCs w:val="48"/>
        </w:rPr>
        <w:t xml:space="preserve">Дарение </w:t>
      </w:r>
    </w:p>
    <w:p w:rsidR="0027266E" w:rsidRPr="00BF22F5" w:rsidRDefault="0027266E" w:rsidP="0027266E">
      <w:pPr>
        <w:shd w:val="clear" w:color="auto" w:fill="FFFFFF"/>
        <w:jc w:val="center"/>
        <w:rPr>
          <w:rFonts w:ascii="Arial" w:hAnsi="Arial" w:cs="Arial"/>
          <w:b/>
          <w:bCs/>
          <w:color w:val="000080"/>
          <w:sz w:val="21"/>
          <w:szCs w:val="21"/>
        </w:rPr>
      </w:pPr>
      <w:bookmarkStart w:id="0" w:name="text"/>
      <w:bookmarkEnd w:id="0"/>
      <w:r w:rsidRPr="00BF22F5">
        <w:rPr>
          <w:rFonts w:ascii="Arial" w:hAnsi="Arial" w:cs="Arial"/>
          <w:b/>
          <w:bCs/>
          <w:color w:val="000080"/>
          <w:sz w:val="21"/>
          <w:szCs w:val="21"/>
        </w:rPr>
        <w:t>Глава 32. Дарение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См. </w:t>
      </w:r>
      <w:hyperlink r:id="rId4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Энциклопедию решений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. Договор дарения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См. </w:t>
      </w:r>
      <w:hyperlink r:id="rId5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схему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"Договор мены. Договор дарения"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572.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Договор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572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При наличии встречной передачи вещи или права либо встречного обязательства договор не признается дарением. К такому договору применяются правила, предусмотренные </w:t>
      </w:r>
      <w:hyperlink r:id="rId6" w:anchor="block_1702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пунктом 2 статьи 170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2.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Обещание безвозмездно передать кому-либо вещь или имущественное право либо освободить кого-либо от имущественной обязанности (обещание дарения) признается договором дарения и связывает обещавшего, если обещание сделано в надлежащей форме (</w:t>
      </w:r>
      <w:hyperlink r:id="rId7" w:anchor="block_5742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 2 статьи 574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>)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обязанности.</w:t>
      </w:r>
      <w:proofErr w:type="gramEnd"/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Обещание подарить все свое имущество или часть всего своего имущества без указания на конкретный предмет дарения в виде вещи, права или освобождения от обязанности ничтожно.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3. Договор, предусматривающий передачу дара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одаряемому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после смерти дарителя, ничтожен.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такого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рода дарению применяются правила </w:t>
      </w:r>
      <w:hyperlink r:id="rId8" w:anchor="block_50000" w:history="1">
        <w:r w:rsidRPr="00BF22F5">
          <w:rPr>
            <w:rFonts w:ascii="Arial" w:hAnsi="Arial" w:cs="Arial"/>
            <w:color w:val="008000"/>
            <w:sz w:val="18"/>
            <w:szCs w:val="18"/>
          </w:rPr>
          <w:t>гражданского законодательства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о наследовании.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573.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Отказ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одаряемого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принять дар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573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1.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Одаряемый вправе в любое время до передачи ему дара от него отказаться.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В этом случае договор дарения считается расторгнутым.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2. Если договор дарения заключен в письменной форме, отказ от дара должен быть совершен также в письменной форме. В случае, когда договор дарения зарегистрирован (</w:t>
      </w:r>
      <w:hyperlink r:id="rId9" w:anchor="block_5743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 3 статьи 574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>), отказ от принятия дара также подлежит государственной регистрации.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3. Если договор дарения был заключен в письменной форме, даритель вправе требовать от одаряемого возмещения реального ущерба, причиненного отказом принять дар.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Правила о государственной регистрации сделок с недвижимым имуществом, содержащиеся в статье 574, </w:t>
      </w:r>
      <w:hyperlink r:id="rId10" w:anchor="block_28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не подлежат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применению к договорам, заключаемым после дня </w:t>
      </w:r>
      <w:hyperlink r:id="rId11" w:anchor="block_2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вступления в силу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Федерального закона от 30 декабря 2012 г. N 302-ФЗ</w:t>
      </w: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574.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Форма договора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574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1. Дарение, сопровождаемое передачей дара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одаряемому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, может быть совершено устно, за исключением случаев, предусмотренных </w:t>
      </w:r>
      <w:hyperlink r:id="rId12" w:anchor="block_5742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пунктами 2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13" w:anchor="block_5743" w:history="1">
        <w:r w:rsidRPr="00BF22F5">
          <w:rPr>
            <w:rFonts w:ascii="Arial" w:hAnsi="Arial" w:cs="Arial"/>
            <w:color w:val="008000"/>
            <w:sz w:val="18"/>
            <w:szCs w:val="18"/>
          </w:rPr>
          <w:t>3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настоящей статьи.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Передача дара осуществляется посредством его вручения, символической передачи (вручение ключей и т.п.) либо вручения правоустанавливающих документов.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Информация об изменениях: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14" w:anchor="block_60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Федеральным законом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25 декабря 2008 г. N 280-ФЗ в пункт 2 статьи 574 настоящего Кодекса внесены изменения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15" w:anchor="block_5742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См. текст пункта в предыдущей редакции</w:t>
        </w:r>
      </w:hyperlink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2. Договор дарения движимого имущества должен быть совершен в письменной форме в случаях, когда: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дарителем является юридическое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лицо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и стоимость дара превышает три тысячи рублей;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договор содержит обещание дарения в будущем.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В случаях, предусмотренных в настоящем пункте, договор дарения, совершенный устно, ничтожен.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Правила о государственной регистрации сделок с недвижимым имуществом, содержащиеся в статье 574, </w:t>
      </w:r>
      <w:hyperlink r:id="rId16" w:anchor="block_28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не подлежат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применению к договорам, заключаемым после 1 марта 2013 г.</w:t>
      </w:r>
    </w:p>
    <w:p w:rsidR="0027266E" w:rsidRPr="00BF22F5" w:rsidRDefault="0027266E" w:rsidP="0027266E">
      <w:pPr>
        <w:shd w:val="clear" w:color="auto" w:fill="FFFFFF"/>
        <w:ind w:firstLine="68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3. Договор дарения недвижимого имущества подлежит государственной регистрации.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О государственной регистрации прав на недвижимое имущество и сделок с ним </w:t>
      </w:r>
      <w:proofErr w:type="gramStart"/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</w:t>
      </w:r>
      <w:proofErr w:type="gramEnd"/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. </w:t>
      </w:r>
      <w:hyperlink r:id="rId17" w:anchor="block_55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статью 551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настоящего Кодекса и </w:t>
      </w:r>
      <w:hyperlink r:id="rId18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Федеральный закон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21 июля 1997 г. N 122-ФЗ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Информация об изменениях: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19" w:anchor="block_602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Федеральным законом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25 декабря 2008 г. N 280-ФЗ в статью 575 настоящего Кодекса внесены изменения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20" w:anchor="block_575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См. те</w:t>
        </w:r>
        <w:proofErr w:type="gramStart"/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кст ст</w:t>
        </w:r>
        <w:proofErr w:type="gramEnd"/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атьи в предыдущей редакции</w:t>
        </w:r>
      </w:hyperlink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575.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Запрещение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575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Не допускается дарение, за исключением обычных подарков, стоимость которых не превышает трех тысяч рублей: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1) от имени малолетних и граждан, признанных недееспособными, их законными представителями;</w:t>
      </w:r>
      <w:proofErr w:type="gramEnd"/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4) в отношениях между </w:t>
      </w:r>
      <w:hyperlink r:id="rId21" w:anchor="block_5002" w:history="1">
        <w:r w:rsidRPr="00BF22F5">
          <w:rPr>
            <w:rFonts w:ascii="Arial" w:hAnsi="Arial" w:cs="Arial"/>
            <w:color w:val="008000"/>
            <w:sz w:val="18"/>
            <w:szCs w:val="18"/>
          </w:rPr>
          <w:t>коммерческими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организациями.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</w:t>
      </w:r>
      <w:hyperlink r:id="rId22" w:anchor="block_57501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пунктом 1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  <w:proofErr w:type="gramEnd"/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576.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Ограничения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576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Юридическое лицо, которому вещь принадлежит на праве хозяйственного ведения или оперативного управления, вправе подарить ее с согласия собственника, если законом не предусмотрено иное. Это ограничение не распространяется на обычные подарки небольшой стоимости.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2. Дарение имущества, находящегося в общей совместной собственности, допускается по согласию всех участников совместной собственности с соблюдением правил, предусмотренных </w:t>
      </w:r>
      <w:hyperlink r:id="rId23" w:anchor="block_253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статьей 253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3. Дарение принадлежащего дарителю права требования к третьему лицу осуществляется с соблюдением правил, предусмотренных </w:t>
      </w:r>
      <w:hyperlink r:id="rId24" w:anchor="block_382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статьями 382-386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25" w:anchor="block_388" w:history="1">
        <w:r w:rsidRPr="00BF22F5">
          <w:rPr>
            <w:rFonts w:ascii="Arial" w:hAnsi="Arial" w:cs="Arial"/>
            <w:color w:val="008000"/>
            <w:sz w:val="18"/>
            <w:szCs w:val="18"/>
          </w:rPr>
          <w:t>388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26" w:anchor="block_389" w:history="1">
        <w:r w:rsidRPr="00BF22F5">
          <w:rPr>
            <w:rFonts w:ascii="Arial" w:hAnsi="Arial" w:cs="Arial"/>
            <w:color w:val="008000"/>
            <w:sz w:val="18"/>
            <w:szCs w:val="18"/>
          </w:rPr>
          <w:t>389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4. Дарение посредством исполнения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одаряемого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его обязанности перед третьим лицом осуществляется с соблюдением правил, предусмотренных </w:t>
      </w:r>
      <w:hyperlink r:id="rId27" w:anchor="block_313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пунктом 1 статьи 313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Дарение посредством перевода дарителем на себя долга одаряемого перед третьим лицом осуществляется с соблюдением правил, предусмотренных </w:t>
      </w:r>
      <w:hyperlink r:id="rId28" w:anchor="block_391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статьями 391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29" w:anchor="block_392" w:history="1">
        <w:r w:rsidRPr="00BF22F5">
          <w:rPr>
            <w:rFonts w:ascii="Arial" w:hAnsi="Arial" w:cs="Arial"/>
            <w:color w:val="008000"/>
            <w:sz w:val="18"/>
            <w:szCs w:val="18"/>
          </w:rPr>
          <w:t>392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5. Доверенность на совершение дарения представителем, в которой не назван одаряемый и не указан предмет дарения, ничтожна.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577.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Отказ от исполнения договора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577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Даритель вправе отказаться от исполнения договора, содержащего обещание передать в будущем одаряемому вещь или право либо освободить одаряемого от имущественной обязанности,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2.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Даритель вправе отказаться от исполнения договора, содержащего обещание передать в будущем одаряемому вещь или право либо освободить одаряемого от имущественной обязанности, по основаниям, дающим ему право отменить дарение (</w:t>
      </w:r>
      <w:hyperlink r:id="rId30" w:anchor="block_578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 1 статьи 578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>).</w:t>
      </w:r>
      <w:proofErr w:type="gramEnd"/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3. Отказ дарителя от исполнения договора дарения по основаниям, предусмотренным </w:t>
      </w:r>
      <w:hyperlink r:id="rId31" w:anchor="block_5771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пунктами 1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32" w:anchor="block_5772" w:history="1">
        <w:r w:rsidRPr="00BF22F5">
          <w:rPr>
            <w:rFonts w:ascii="Arial" w:hAnsi="Arial" w:cs="Arial"/>
            <w:color w:val="008000"/>
            <w:sz w:val="18"/>
            <w:szCs w:val="18"/>
          </w:rPr>
          <w:t>2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настоящей статьи, не дает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одаряемому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права требовать возмещения убытков.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578.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Отмена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578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В случае умышленного лишения жизни дарителя одаряемым право требовать в суде отмены дарения принадлежит наследникам дарителя.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2. Даритель вправе потребовать в судебном порядке отмены дарения, если обращение одаряемого с подаренной вещью, представляющей для дарителя большую неимущественную ценность, создает угрозу ее безвозвратной утраты.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3. По требованию заинтересованного лица суд может отменить дарение, совершенное индивидуальным предпринимателем или юридическим лицом в нарушение положений </w:t>
      </w:r>
      <w:hyperlink r:id="rId33" w:history="1">
        <w:r w:rsidRPr="00BF22F5">
          <w:rPr>
            <w:rFonts w:ascii="Arial" w:hAnsi="Arial" w:cs="Arial"/>
            <w:color w:val="008000"/>
            <w:sz w:val="18"/>
            <w:szCs w:val="18"/>
          </w:rPr>
          <w:t>закона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о несостоятельности (банкротстве) за счет средств, связанных с его предпринимательской деятельностью, в течение шести месяцев, предшествовавших объявлению такого лица несостоятельным (банкротом).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4. В договоре дарения может быть обусловлено право дарителя отменить дарение в случае, если он переживет одаряемого.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5. В случае отмены дарения </w:t>
      </w: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>одаряемый</w:t>
      </w:r>
      <w:proofErr w:type="gramEnd"/>
      <w:r w:rsidRPr="00BF22F5">
        <w:rPr>
          <w:rFonts w:ascii="Arial" w:hAnsi="Arial" w:cs="Arial"/>
          <w:color w:val="000000"/>
          <w:sz w:val="18"/>
          <w:szCs w:val="18"/>
        </w:rPr>
        <w:t xml:space="preserve"> обязан возвратить подаренную вещь, если она сохранилась в натуре к моменту отмены дарения.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579.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Случаи, в которых отказ от исполнения договора дарения и отмена дарения невозможны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579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Правила об отказе от исполнения договора дарения (</w:t>
      </w:r>
      <w:hyperlink r:id="rId34" w:anchor="block_577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статья 577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>) и об отмене дарения (</w:t>
      </w:r>
      <w:hyperlink r:id="rId35" w:anchor="block_578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статья 578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>) не применяются к обычным подаркам небольшой стоимости.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580.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Последствия причинения вреда вследствие недостатков подаренной вещи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580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F22F5">
        <w:rPr>
          <w:rFonts w:ascii="Arial" w:hAnsi="Arial" w:cs="Arial"/>
          <w:color w:val="000000"/>
          <w:sz w:val="18"/>
          <w:szCs w:val="18"/>
        </w:rPr>
        <w:t xml:space="preserve">Вред, причиненный жизни, здоровью или имуществу одаряемого гражданина вследствие недостатков подаренной вещи, подлежит возмещению дарителем в соответствии с правилами, предусмотренными </w:t>
      </w:r>
      <w:hyperlink r:id="rId36" w:anchor="block_2059" w:history="1">
        <w:r w:rsidRPr="00BF22F5">
          <w:rPr>
            <w:rFonts w:ascii="Arial" w:hAnsi="Arial" w:cs="Arial"/>
            <w:color w:val="008000"/>
            <w:sz w:val="18"/>
            <w:szCs w:val="18"/>
          </w:rPr>
          <w:t>главой 59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Кодекса, если доказано, что эти недостатки возникли до передачи вещи одаряемому, не относятся к числу явных и даритель, хотя и знал о них, не предупредил о них одаряемого.</w:t>
      </w:r>
      <w:proofErr w:type="gramEnd"/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581.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Правопреемство при обещании дарения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581 ГК РФ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1. Права одаряемого, которому по договору дарения обещан дар, не переходят к его наследникам (правопреемникам), если иное не предусмотрено договором дарения.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2. Обязанности дарителя, обещавшего дарение, переходят к его наследникам (правопреемникам), если иное не предусмотрено договором дарения.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Информация об изменениях: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37" w:anchor="block_3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Федеральным законом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30 декабря 2006 г. N 276-ФЗ в статью 582 настоящего Кодекса внесены изменения, </w:t>
      </w:r>
      <w:hyperlink r:id="rId38" w:anchor="block_5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вступающие в силу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со дня </w:t>
      </w:r>
      <w:hyperlink r:id="rId39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официального опубликования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названного Федерального закона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40" w:anchor="block_582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См. те</w:t>
        </w:r>
        <w:proofErr w:type="gramStart"/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кст ст</w:t>
        </w:r>
        <w:proofErr w:type="gramEnd"/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атьи в предыдущей редакции</w:t>
        </w:r>
      </w:hyperlink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left="825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b/>
          <w:bCs/>
          <w:color w:val="000080"/>
          <w:sz w:val="18"/>
          <w:szCs w:val="18"/>
        </w:rPr>
        <w:t>Статья 582.</w:t>
      </w:r>
      <w:r w:rsidRPr="00BF22F5">
        <w:rPr>
          <w:rFonts w:ascii="Arial" w:hAnsi="Arial" w:cs="Arial"/>
          <w:color w:val="000000"/>
          <w:sz w:val="18"/>
          <w:szCs w:val="18"/>
        </w:rPr>
        <w:t xml:space="preserve"> Пожертвования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См. комментарии к статье 582 ГК РФ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Информация об изменениях: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41" w:anchor="block_35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Федеральным законом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2 июля 2013 г. N 185-ФЗ в пункт 1 статьи 582 настоящего Кодекса внесены изменения, </w:t>
      </w:r>
      <w:hyperlink r:id="rId42" w:anchor="block_163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вступающие в силу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с 1 сентября 2013 г.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hyperlink r:id="rId43" w:anchor="block_5821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</w:rPr>
          <w:t>См. текст пункта в предыдущей редакции</w:t>
        </w:r>
      </w:hyperlink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</w:t>
      </w:r>
      <w:hyperlink r:id="rId44" w:anchor="block_124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статье 124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Pr="00BF22F5" w:rsidRDefault="0027266E" w:rsidP="0027266E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3C80"/>
        </w:rPr>
      </w:pPr>
      <w:r w:rsidRPr="00BF22F5">
        <w:rPr>
          <w:rFonts w:ascii="Arial" w:hAnsi="Arial" w:cs="Arial"/>
          <w:b/>
          <w:bCs/>
          <w:color w:val="003C80"/>
        </w:rPr>
        <w:t>ГАРАНТ: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i/>
          <w:iCs/>
          <w:color w:val="800080"/>
          <w:sz w:val="18"/>
          <w:szCs w:val="18"/>
        </w:rPr>
      </w:pPr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О пожертвованиях политической партии и ее региональным отделениям </w:t>
      </w:r>
      <w:proofErr w:type="gramStart"/>
      <w:r w:rsidRPr="00BF22F5">
        <w:rPr>
          <w:rFonts w:ascii="Arial" w:hAnsi="Arial" w:cs="Arial"/>
          <w:i/>
          <w:iCs/>
          <w:color w:val="800080"/>
          <w:sz w:val="18"/>
          <w:szCs w:val="18"/>
        </w:rPr>
        <w:t>см</w:t>
      </w:r>
      <w:proofErr w:type="gramEnd"/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. </w:t>
      </w:r>
      <w:hyperlink r:id="rId45" w:anchor="block_30" w:history="1">
        <w:r w:rsidRPr="00BF22F5">
          <w:rPr>
            <w:rFonts w:ascii="Arial" w:hAnsi="Arial" w:cs="Arial"/>
            <w:i/>
            <w:iCs/>
            <w:color w:val="008000"/>
            <w:sz w:val="18"/>
            <w:szCs w:val="18"/>
            <w:u w:val="single"/>
          </w:rPr>
          <w:t>Федеральный закон</w:t>
        </w:r>
      </w:hyperlink>
      <w:r w:rsidRPr="00BF22F5">
        <w:rPr>
          <w:rFonts w:ascii="Arial" w:hAnsi="Arial" w:cs="Arial"/>
          <w:i/>
          <w:iCs/>
          <w:color w:val="800080"/>
          <w:sz w:val="18"/>
          <w:szCs w:val="18"/>
        </w:rPr>
        <w:t xml:space="preserve"> от 11 июля 2001 г. N 95-ФЗ</w:t>
      </w:r>
    </w:p>
    <w:p w:rsidR="0027266E" w:rsidRPr="00BF22F5" w:rsidRDefault="0027266E" w:rsidP="0027266E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2. На принятие пожертвования не требуется чьего-либо разрешения или согласия.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4. Если </w:t>
      </w:r>
      <w:hyperlink r:id="rId46" w:anchor="block_5" w:history="1">
        <w:r w:rsidRPr="00BF22F5">
          <w:rPr>
            <w:rFonts w:ascii="Arial" w:hAnsi="Arial" w:cs="Arial"/>
            <w:color w:val="008000"/>
            <w:sz w:val="18"/>
            <w:szCs w:val="18"/>
          </w:rPr>
          <w:t>законом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</w:t>
      </w:r>
      <w:hyperlink r:id="rId47" w:anchor="block_5824" w:history="1">
        <w:r w:rsidRPr="00BF22F5">
          <w:rPr>
            <w:rFonts w:ascii="Arial" w:hAnsi="Arial" w:cs="Arial"/>
            <w:color w:val="008000"/>
            <w:sz w:val="18"/>
            <w:szCs w:val="18"/>
          </w:rPr>
          <w:t>пунктом 4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настоящей статьи, дает право жертвователю, его наследникам или иному правопреемнику требовать отмены пожертвования.</w:t>
      </w:r>
    </w:p>
    <w:p w:rsidR="0027266E" w:rsidRPr="00BF22F5" w:rsidRDefault="0027266E" w:rsidP="0027266E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BF22F5">
        <w:rPr>
          <w:rFonts w:ascii="Arial" w:hAnsi="Arial" w:cs="Arial"/>
          <w:color w:val="000000"/>
          <w:sz w:val="18"/>
          <w:szCs w:val="18"/>
        </w:rPr>
        <w:t xml:space="preserve">6. К пожертвованиям не применяются </w:t>
      </w:r>
      <w:hyperlink r:id="rId48" w:anchor="block_578" w:history="1">
        <w:r w:rsidRPr="00BF22F5">
          <w:rPr>
            <w:rFonts w:ascii="Arial" w:hAnsi="Arial" w:cs="Arial"/>
            <w:color w:val="008000"/>
            <w:sz w:val="18"/>
            <w:szCs w:val="18"/>
          </w:rPr>
          <w:t>статьи 578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и </w:t>
      </w:r>
      <w:hyperlink r:id="rId49" w:anchor="block_581" w:history="1">
        <w:r w:rsidRPr="00BF22F5">
          <w:rPr>
            <w:rFonts w:ascii="Arial" w:hAnsi="Arial" w:cs="Arial"/>
            <w:color w:val="008000"/>
            <w:sz w:val="18"/>
            <w:szCs w:val="18"/>
          </w:rPr>
          <w:t>581</w:t>
        </w:r>
      </w:hyperlink>
      <w:r w:rsidRPr="00BF22F5">
        <w:rPr>
          <w:rFonts w:ascii="Arial" w:hAnsi="Arial" w:cs="Arial"/>
          <w:color w:val="000000"/>
          <w:sz w:val="18"/>
          <w:szCs w:val="18"/>
        </w:rPr>
        <w:t xml:space="preserve"> настоящего Кодекса.</w:t>
      </w:r>
    </w:p>
    <w:p w:rsidR="0027266E" w:rsidRDefault="0027266E" w:rsidP="0027266E">
      <w:r w:rsidRPr="00BF22F5">
        <w:rPr>
          <w:rFonts w:ascii="Arial" w:hAnsi="Arial" w:cs="Arial"/>
          <w:color w:val="000000"/>
        </w:rPr>
        <w:br/>
      </w:r>
      <w:r w:rsidRPr="00BF22F5">
        <w:rPr>
          <w:rFonts w:ascii="Arial" w:hAnsi="Arial" w:cs="Arial"/>
          <w:color w:val="000000"/>
        </w:rPr>
        <w:br/>
        <w:t xml:space="preserve">Система ГАРАНТ: </w:t>
      </w:r>
      <w:hyperlink r:id="rId50" w:anchor="ixzz3ZLTyykix" w:history="1">
        <w:r w:rsidRPr="00BF22F5">
          <w:rPr>
            <w:rFonts w:ascii="Arial" w:hAnsi="Arial" w:cs="Arial"/>
            <w:color w:val="003399"/>
          </w:rPr>
          <w:t>http://base.garant.ru/10164072/33/#ixzz3ZLTyykix</w:t>
        </w:r>
      </w:hyperlink>
      <w:bookmarkStart w:id="1" w:name="_GoBack"/>
      <w:bookmarkEnd w:id="1"/>
    </w:p>
    <w:p w:rsidR="007E0C37" w:rsidRDefault="007E0C37"/>
    <w:sectPr w:rsidR="007E0C37" w:rsidSect="00DA2C6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266E"/>
    <w:rsid w:val="0027266E"/>
    <w:rsid w:val="007E0C37"/>
    <w:rsid w:val="00DA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0164072/33/" TargetMode="External"/><Relationship Id="rId18" Type="http://schemas.openxmlformats.org/officeDocument/2006/relationships/hyperlink" Target="http://base.garant.ru/11901341/" TargetMode="External"/><Relationship Id="rId26" Type="http://schemas.openxmlformats.org/officeDocument/2006/relationships/hyperlink" Target="http://base.garant.ru/10164072/25/" TargetMode="External"/><Relationship Id="rId39" Type="http://schemas.openxmlformats.org/officeDocument/2006/relationships/hyperlink" Target="http://base.garant.ru/1225131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0164072/4/" TargetMode="External"/><Relationship Id="rId34" Type="http://schemas.openxmlformats.org/officeDocument/2006/relationships/hyperlink" Target="http://base.garant.ru/10164072/33/" TargetMode="External"/><Relationship Id="rId42" Type="http://schemas.openxmlformats.org/officeDocument/2006/relationships/hyperlink" Target="http://base.garant.ru/70405818/" TargetMode="External"/><Relationship Id="rId47" Type="http://schemas.openxmlformats.org/officeDocument/2006/relationships/hyperlink" Target="http://base.garant.ru/10164072/33/" TargetMode="External"/><Relationship Id="rId50" Type="http://schemas.openxmlformats.org/officeDocument/2006/relationships/hyperlink" Target="http://base.garant.ru/10164072/33/" TargetMode="External"/><Relationship Id="rId7" Type="http://schemas.openxmlformats.org/officeDocument/2006/relationships/hyperlink" Target="http://base.garant.ru/10164072/33/" TargetMode="External"/><Relationship Id="rId12" Type="http://schemas.openxmlformats.org/officeDocument/2006/relationships/hyperlink" Target="http://base.garant.ru/10164072/33/" TargetMode="External"/><Relationship Id="rId17" Type="http://schemas.openxmlformats.org/officeDocument/2006/relationships/hyperlink" Target="http://base.garant.ru/10164072/31/" TargetMode="External"/><Relationship Id="rId25" Type="http://schemas.openxmlformats.org/officeDocument/2006/relationships/hyperlink" Target="http://base.garant.ru/10164072/25/" TargetMode="External"/><Relationship Id="rId33" Type="http://schemas.openxmlformats.org/officeDocument/2006/relationships/hyperlink" Target="http://base.garant.ru/185181/" TargetMode="External"/><Relationship Id="rId38" Type="http://schemas.openxmlformats.org/officeDocument/2006/relationships/hyperlink" Target="http://base.garant.ru/12151313/" TargetMode="External"/><Relationship Id="rId46" Type="http://schemas.openxmlformats.org/officeDocument/2006/relationships/hyperlink" Target="http://base.garant.ru/12151312/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291432/" TargetMode="External"/><Relationship Id="rId20" Type="http://schemas.openxmlformats.org/officeDocument/2006/relationships/hyperlink" Target="http://base.garant.ru/5430557/" TargetMode="External"/><Relationship Id="rId29" Type="http://schemas.openxmlformats.org/officeDocument/2006/relationships/hyperlink" Target="http://base.garant.ru/10164072/25/" TargetMode="External"/><Relationship Id="rId41" Type="http://schemas.openxmlformats.org/officeDocument/2006/relationships/hyperlink" Target="http://base.garant.ru/7040581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164072/9/" TargetMode="External"/><Relationship Id="rId11" Type="http://schemas.openxmlformats.org/officeDocument/2006/relationships/hyperlink" Target="http://base.garant.ru/70291432/" TargetMode="External"/><Relationship Id="rId24" Type="http://schemas.openxmlformats.org/officeDocument/2006/relationships/hyperlink" Target="http://base.garant.ru/10164072/25/" TargetMode="External"/><Relationship Id="rId32" Type="http://schemas.openxmlformats.org/officeDocument/2006/relationships/hyperlink" Target="http://base.garant.ru/10164072/33/" TargetMode="External"/><Relationship Id="rId37" Type="http://schemas.openxmlformats.org/officeDocument/2006/relationships/hyperlink" Target="http://base.garant.ru/12151313/" TargetMode="External"/><Relationship Id="rId40" Type="http://schemas.openxmlformats.org/officeDocument/2006/relationships/hyperlink" Target="http://base.garant.ru/5222723/" TargetMode="External"/><Relationship Id="rId45" Type="http://schemas.openxmlformats.org/officeDocument/2006/relationships/hyperlink" Target="http://base.garant.ru/183523/5/" TargetMode="External"/><Relationship Id="rId5" Type="http://schemas.openxmlformats.org/officeDocument/2006/relationships/hyperlink" Target="http://base.garant.ru/5522071/" TargetMode="External"/><Relationship Id="rId15" Type="http://schemas.openxmlformats.org/officeDocument/2006/relationships/hyperlink" Target="http://base.garant.ru/5430557/" TargetMode="External"/><Relationship Id="rId23" Type="http://schemas.openxmlformats.org/officeDocument/2006/relationships/hyperlink" Target="http://base.garant.ru/10164072/17/" TargetMode="External"/><Relationship Id="rId28" Type="http://schemas.openxmlformats.org/officeDocument/2006/relationships/hyperlink" Target="http://base.garant.ru/10164072/25/" TargetMode="External"/><Relationship Id="rId36" Type="http://schemas.openxmlformats.org/officeDocument/2006/relationships/hyperlink" Target="http://base.garant.ru/10164072/60/" TargetMode="External"/><Relationship Id="rId49" Type="http://schemas.openxmlformats.org/officeDocument/2006/relationships/hyperlink" Target="http://base.garant.ru/10164072/33/" TargetMode="External"/><Relationship Id="rId10" Type="http://schemas.openxmlformats.org/officeDocument/2006/relationships/hyperlink" Target="http://base.garant.ru/70291432/" TargetMode="External"/><Relationship Id="rId19" Type="http://schemas.openxmlformats.org/officeDocument/2006/relationships/hyperlink" Target="http://base.garant.ru/12164243/" TargetMode="External"/><Relationship Id="rId31" Type="http://schemas.openxmlformats.org/officeDocument/2006/relationships/hyperlink" Target="http://base.garant.ru/10164072/33/" TargetMode="External"/><Relationship Id="rId44" Type="http://schemas.openxmlformats.org/officeDocument/2006/relationships/hyperlink" Target="http://base.garant.ru/10164072/5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base.garant.ru/58074032/" TargetMode="External"/><Relationship Id="rId9" Type="http://schemas.openxmlformats.org/officeDocument/2006/relationships/hyperlink" Target="http://base.garant.ru/10164072/33/" TargetMode="External"/><Relationship Id="rId14" Type="http://schemas.openxmlformats.org/officeDocument/2006/relationships/hyperlink" Target="http://base.garant.ru/12164243/" TargetMode="External"/><Relationship Id="rId22" Type="http://schemas.openxmlformats.org/officeDocument/2006/relationships/hyperlink" Target="http://base.garant.ru/10164072/33/" TargetMode="External"/><Relationship Id="rId27" Type="http://schemas.openxmlformats.org/officeDocument/2006/relationships/hyperlink" Target="http://base.garant.ru/10164072/23/" TargetMode="External"/><Relationship Id="rId30" Type="http://schemas.openxmlformats.org/officeDocument/2006/relationships/hyperlink" Target="http://base.garant.ru/10164072/33/" TargetMode="External"/><Relationship Id="rId35" Type="http://schemas.openxmlformats.org/officeDocument/2006/relationships/hyperlink" Target="http://base.garant.ru/10164072/33/" TargetMode="External"/><Relationship Id="rId43" Type="http://schemas.openxmlformats.org/officeDocument/2006/relationships/hyperlink" Target="http://base.garant.ru/58047540/" TargetMode="External"/><Relationship Id="rId48" Type="http://schemas.openxmlformats.org/officeDocument/2006/relationships/hyperlink" Target="http://base.garant.ru/10164072/33/" TargetMode="External"/><Relationship Id="rId8" Type="http://schemas.openxmlformats.org/officeDocument/2006/relationships/hyperlink" Target="http://base.garant.ru/10164072/62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2351</Words>
  <Characters>13403</Characters>
  <Application>Microsoft Office Word</Application>
  <DocSecurity>0</DocSecurity>
  <Lines>111</Lines>
  <Paragraphs>31</Paragraphs>
  <ScaleCrop>false</ScaleCrop>
  <Company>Microsoft</Company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3</cp:revision>
  <dcterms:created xsi:type="dcterms:W3CDTF">2019-08-08T11:23:00Z</dcterms:created>
  <dcterms:modified xsi:type="dcterms:W3CDTF">2019-08-08T11:24:00Z</dcterms:modified>
</cp:coreProperties>
</file>